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E297C" w14:textId="2C1B55D2" w:rsidR="00356ED3" w:rsidRPr="00B033EB" w:rsidRDefault="00CD40BB" w:rsidP="00E03764">
      <w:pPr>
        <w:rPr>
          <w:rFonts w:cstheme="minorHAnsi"/>
          <w:b/>
          <w:bCs/>
        </w:rPr>
      </w:pPr>
      <w:r w:rsidRPr="00B033EB">
        <w:rPr>
          <w:rFonts w:cstheme="minorHAnsi"/>
          <w:noProof/>
        </w:rPr>
        <w:drawing>
          <wp:inline distT="0" distB="0" distL="0" distR="0" wp14:anchorId="27972902" wp14:editId="6D0D027F">
            <wp:extent cx="6000750" cy="1219200"/>
            <wp:effectExtent l="0" t="0" r="0" b="0"/>
            <wp:docPr id="156821680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0750" cy="1219200"/>
                    </a:xfrm>
                    <a:prstGeom prst="rect">
                      <a:avLst/>
                    </a:prstGeom>
                    <a:noFill/>
                    <a:ln>
                      <a:noFill/>
                    </a:ln>
                  </pic:spPr>
                </pic:pic>
              </a:graphicData>
            </a:graphic>
          </wp:inline>
        </w:drawing>
      </w:r>
    </w:p>
    <w:p w14:paraId="287A36E4" w14:textId="77777777" w:rsidR="00356ED3" w:rsidRPr="00B033EB" w:rsidRDefault="00356ED3" w:rsidP="00356ED3">
      <w:pPr>
        <w:outlineLvl w:val="0"/>
        <w:rPr>
          <w:rFonts w:cstheme="minorHAnsi"/>
          <w:b/>
        </w:rPr>
      </w:pPr>
    </w:p>
    <w:p w14:paraId="2D803D72" w14:textId="77F25FF6" w:rsidR="00001172" w:rsidRPr="00B033EB" w:rsidRDefault="00001172" w:rsidP="00E03764">
      <w:pPr>
        <w:pStyle w:val="Heading1"/>
        <w:ind w:left="10" w:right="52"/>
        <w:rPr>
          <w:rFonts w:asciiTheme="minorHAnsi" w:hAnsiTheme="minorHAnsi" w:cstheme="minorHAnsi"/>
          <w:b/>
          <w:bCs/>
        </w:rPr>
      </w:pPr>
      <w:r w:rsidRPr="00B033EB">
        <w:rPr>
          <w:rFonts w:asciiTheme="minorHAnsi" w:hAnsiTheme="minorHAnsi" w:cstheme="minorHAnsi"/>
          <w:b/>
          <w:bCs/>
        </w:rPr>
        <w:t>Hartlepool College of Further Education</w:t>
      </w:r>
    </w:p>
    <w:p w14:paraId="73988F2F" w14:textId="5D44B7FD" w:rsidR="00356ED3" w:rsidRPr="00B033EB" w:rsidRDefault="00356ED3" w:rsidP="00E03764">
      <w:pPr>
        <w:pStyle w:val="Heading1"/>
        <w:ind w:left="10" w:right="52"/>
        <w:rPr>
          <w:rFonts w:asciiTheme="minorHAnsi" w:hAnsiTheme="minorHAnsi" w:cstheme="minorHAnsi"/>
          <w:b/>
          <w:bCs/>
        </w:rPr>
      </w:pPr>
      <w:r w:rsidRPr="00B033EB">
        <w:rPr>
          <w:rFonts w:asciiTheme="minorHAnsi" w:hAnsiTheme="minorHAnsi" w:cstheme="minorHAnsi"/>
          <w:b/>
          <w:bCs/>
        </w:rPr>
        <w:t xml:space="preserve">19+ </w:t>
      </w:r>
      <w:r w:rsidR="007E31E8" w:rsidRPr="00B033EB">
        <w:rPr>
          <w:rFonts w:asciiTheme="minorHAnsi" w:hAnsiTheme="minorHAnsi" w:cstheme="minorHAnsi"/>
          <w:b/>
          <w:bCs/>
        </w:rPr>
        <w:t xml:space="preserve">Adult Skills Fund </w:t>
      </w:r>
      <w:r w:rsidRPr="00B033EB">
        <w:rPr>
          <w:rFonts w:asciiTheme="minorHAnsi" w:hAnsiTheme="minorHAnsi" w:cstheme="minorHAnsi"/>
          <w:b/>
          <w:bCs/>
        </w:rPr>
        <w:t>Learner Support/Advanced Learner Loans Bursary</w:t>
      </w:r>
      <w:r w:rsidR="001845DC" w:rsidRPr="00B033EB">
        <w:rPr>
          <w:rFonts w:asciiTheme="minorHAnsi" w:hAnsiTheme="minorHAnsi" w:cstheme="minorHAnsi"/>
          <w:b/>
          <w:bCs/>
        </w:rPr>
        <w:t xml:space="preserve"> 202</w:t>
      </w:r>
      <w:r w:rsidR="004C6730" w:rsidRPr="00B033EB">
        <w:rPr>
          <w:rFonts w:asciiTheme="minorHAnsi" w:hAnsiTheme="minorHAnsi" w:cstheme="minorHAnsi"/>
          <w:b/>
          <w:bCs/>
        </w:rPr>
        <w:t>5</w:t>
      </w:r>
      <w:r w:rsidR="001845DC" w:rsidRPr="00B033EB">
        <w:rPr>
          <w:rFonts w:asciiTheme="minorHAnsi" w:hAnsiTheme="minorHAnsi" w:cstheme="minorHAnsi"/>
          <w:b/>
          <w:bCs/>
        </w:rPr>
        <w:t>/2</w:t>
      </w:r>
      <w:r w:rsidR="004C6730" w:rsidRPr="00B033EB">
        <w:rPr>
          <w:rFonts w:asciiTheme="minorHAnsi" w:hAnsiTheme="minorHAnsi" w:cstheme="minorHAnsi"/>
          <w:b/>
          <w:bCs/>
        </w:rPr>
        <w:t>6</w:t>
      </w:r>
    </w:p>
    <w:p w14:paraId="33CD93C4" w14:textId="77777777" w:rsidR="00E03764" w:rsidRPr="00B033EB" w:rsidRDefault="00E03764" w:rsidP="00E03764">
      <w:pPr>
        <w:outlineLvl w:val="0"/>
        <w:rPr>
          <w:rFonts w:cstheme="minorHAnsi"/>
          <w:b/>
          <w:bCs/>
          <w:u w:val="single"/>
        </w:rPr>
      </w:pPr>
    </w:p>
    <w:p w14:paraId="5B8C007B" w14:textId="642E6D33" w:rsidR="004B0393" w:rsidRPr="004B0393" w:rsidRDefault="00E03764" w:rsidP="004B0393">
      <w:pPr>
        <w:pStyle w:val="Heading1"/>
        <w:ind w:left="10" w:right="52"/>
        <w:rPr>
          <w:rFonts w:asciiTheme="minorHAnsi" w:hAnsiTheme="minorHAnsi" w:cstheme="minorHAnsi"/>
        </w:rPr>
      </w:pPr>
      <w:r w:rsidRPr="00F76750">
        <w:rPr>
          <w:rFonts w:asciiTheme="minorHAnsi" w:hAnsiTheme="minorHAnsi" w:cstheme="minorHAnsi"/>
        </w:rPr>
        <w:t xml:space="preserve">Guidelines/Policy Statement </w:t>
      </w:r>
    </w:p>
    <w:p w14:paraId="6D539103" w14:textId="77777777" w:rsidR="008F0503" w:rsidRDefault="008F0503" w:rsidP="007B76D9">
      <w:pPr>
        <w:ind w:left="-5" w:right="12"/>
        <w:rPr>
          <w:rFonts w:cstheme="minorHAnsi"/>
        </w:rPr>
      </w:pPr>
    </w:p>
    <w:p w14:paraId="570BF22C" w14:textId="5F44CC04" w:rsidR="00F80C77" w:rsidRPr="00B033EB" w:rsidRDefault="00F80C77" w:rsidP="007B76D9">
      <w:pPr>
        <w:ind w:left="-5" w:right="12"/>
        <w:rPr>
          <w:rFonts w:cstheme="minorHAnsi"/>
        </w:rPr>
      </w:pPr>
      <w:r w:rsidRPr="00B033EB">
        <w:rPr>
          <w:rFonts w:cstheme="minorHAnsi"/>
        </w:rPr>
        <w:t xml:space="preserve">Hartlepool College of Further Education will use </w:t>
      </w:r>
      <w:r w:rsidR="00B23E03" w:rsidRPr="00B033EB">
        <w:rPr>
          <w:rFonts w:cstheme="minorHAnsi"/>
        </w:rPr>
        <w:t xml:space="preserve">Adult Skills Fund </w:t>
      </w:r>
      <w:r w:rsidR="00490A72" w:rsidRPr="00B033EB">
        <w:rPr>
          <w:rFonts w:cstheme="minorHAnsi"/>
        </w:rPr>
        <w:t xml:space="preserve">Learner Support/Advanced </w:t>
      </w:r>
      <w:r w:rsidR="00A46E76" w:rsidRPr="00B033EB">
        <w:rPr>
          <w:rFonts w:cstheme="minorHAnsi"/>
        </w:rPr>
        <w:t>Learner Loans</w:t>
      </w:r>
      <w:r w:rsidRPr="00B033EB">
        <w:rPr>
          <w:rFonts w:cstheme="minorHAnsi"/>
        </w:rPr>
        <w:t xml:space="preserve"> </w:t>
      </w:r>
      <w:r w:rsidR="00E26169" w:rsidRPr="00B033EB">
        <w:rPr>
          <w:rFonts w:cstheme="minorHAnsi"/>
        </w:rPr>
        <w:t xml:space="preserve">Bursary </w:t>
      </w:r>
      <w:r w:rsidRPr="00B033EB">
        <w:rPr>
          <w:rFonts w:cstheme="minorHAnsi"/>
        </w:rPr>
        <w:t xml:space="preserve">funding to support those who face the greatest barriers to continuing in education or training. </w:t>
      </w:r>
    </w:p>
    <w:p w14:paraId="0E363602" w14:textId="54E3E50D" w:rsidR="00842D37" w:rsidRPr="00B033EB" w:rsidRDefault="00F80C77" w:rsidP="007B76D9">
      <w:pPr>
        <w:ind w:left="-5" w:right="12"/>
        <w:rPr>
          <w:rFonts w:cstheme="minorHAnsi"/>
        </w:rPr>
      </w:pPr>
      <w:r w:rsidRPr="00B033EB">
        <w:rPr>
          <w:rFonts w:cstheme="minorHAnsi"/>
        </w:rPr>
        <w:t xml:space="preserve">We will consider all applications </w:t>
      </w:r>
      <w:r w:rsidR="00334C53" w:rsidRPr="00B033EB">
        <w:rPr>
          <w:rFonts w:cstheme="minorHAnsi"/>
        </w:rPr>
        <w:t>impartially</w:t>
      </w:r>
      <w:r w:rsidRPr="00B033EB">
        <w:rPr>
          <w:rFonts w:cstheme="minorHAnsi"/>
        </w:rPr>
        <w:t xml:space="preserve"> and confidentially. All funding is distributed in accordance with the guidelines published by the </w:t>
      </w:r>
      <w:r w:rsidR="004957B4" w:rsidRPr="00B033EB">
        <w:rPr>
          <w:rFonts w:cstheme="minorHAnsi"/>
        </w:rPr>
        <w:t>Department of Education</w:t>
      </w:r>
      <w:r w:rsidR="004966B0" w:rsidRPr="00B033EB">
        <w:rPr>
          <w:rFonts w:cstheme="minorHAnsi"/>
        </w:rPr>
        <w:t xml:space="preserve"> (DFE).</w:t>
      </w:r>
    </w:p>
    <w:p w14:paraId="60E4EC20" w14:textId="2A8A9BF3" w:rsidR="00842D37" w:rsidRPr="00B033EB" w:rsidRDefault="00842D37" w:rsidP="007B76D9">
      <w:pPr>
        <w:ind w:left="-5" w:right="12"/>
        <w:rPr>
          <w:rFonts w:cstheme="minorHAnsi"/>
        </w:rPr>
      </w:pPr>
      <w:r w:rsidRPr="00B033EB">
        <w:rPr>
          <w:rFonts w:cstheme="minorHAnsi"/>
        </w:rPr>
        <w:t xml:space="preserve">All support offered is subject to satisfactory feedback from course tutors and an attendance record of at least </w:t>
      </w:r>
      <w:r w:rsidRPr="00B033EB">
        <w:rPr>
          <w:rFonts w:cstheme="minorHAnsi"/>
          <w:b/>
          <w:bCs/>
        </w:rPr>
        <w:t xml:space="preserve">85%. </w:t>
      </w:r>
      <w:r w:rsidRPr="00B033EB">
        <w:rPr>
          <w:rFonts w:cstheme="minorHAnsi"/>
        </w:rPr>
        <w:t xml:space="preserve">We understand that some students may not be able to achieve 85% attendance due to exceptional circumstances and therefore eligibility regarding attendance may be looked at on an individual basis. </w:t>
      </w:r>
    </w:p>
    <w:p w14:paraId="49437758" w14:textId="13F76455" w:rsidR="00842D37" w:rsidRPr="00B033EB" w:rsidRDefault="00842D37" w:rsidP="00842D37">
      <w:pPr>
        <w:ind w:left="-5" w:right="12"/>
        <w:rPr>
          <w:rFonts w:cstheme="minorHAnsi"/>
        </w:rPr>
      </w:pPr>
      <w:r w:rsidRPr="00B033EB">
        <w:rPr>
          <w:rFonts w:cstheme="minorHAnsi"/>
        </w:rPr>
        <w:t xml:space="preserve">If a student’s attendance falls below 90% across all their timetabled sessions, we will contact </w:t>
      </w:r>
      <w:r w:rsidR="00112794" w:rsidRPr="00B033EB">
        <w:rPr>
          <w:rFonts w:cstheme="minorHAnsi"/>
        </w:rPr>
        <w:t>the student</w:t>
      </w:r>
      <w:r w:rsidRPr="00B033EB">
        <w:rPr>
          <w:rFonts w:cstheme="minorHAnsi"/>
        </w:rPr>
        <w:t xml:space="preserve"> to let them know their bursary entitlement may be at risk if attendance does not improve. If attendance falls below 85% across all timetabled sessions, we may withhold bursary support. Students will be notified in advance of support being stopped.</w:t>
      </w:r>
    </w:p>
    <w:p w14:paraId="4C288FAC" w14:textId="77777777" w:rsidR="0027438D" w:rsidRPr="00B033EB" w:rsidRDefault="0027438D" w:rsidP="00356ED3">
      <w:pPr>
        <w:outlineLvl w:val="0"/>
        <w:rPr>
          <w:rFonts w:cstheme="minorHAnsi"/>
        </w:rPr>
      </w:pPr>
    </w:p>
    <w:p w14:paraId="55378A8F" w14:textId="0D7667F0" w:rsidR="00356ED3" w:rsidRPr="00695B6B" w:rsidRDefault="0081513C" w:rsidP="00E03764">
      <w:pPr>
        <w:pStyle w:val="Heading1"/>
        <w:ind w:left="10" w:right="52"/>
        <w:rPr>
          <w:rFonts w:asciiTheme="minorHAnsi" w:hAnsiTheme="minorHAnsi" w:cstheme="minorHAnsi"/>
        </w:rPr>
      </w:pPr>
      <w:r w:rsidRPr="00695B6B">
        <w:rPr>
          <w:rFonts w:asciiTheme="minorHAnsi" w:hAnsiTheme="minorHAnsi" w:cstheme="minorHAnsi"/>
        </w:rPr>
        <w:t>Eligibility</w:t>
      </w:r>
    </w:p>
    <w:p w14:paraId="4ECB6AB0" w14:textId="77777777" w:rsidR="00356ED3" w:rsidRPr="00B033EB" w:rsidRDefault="00356ED3" w:rsidP="00356ED3">
      <w:pPr>
        <w:keepNext/>
        <w:keepLines/>
        <w:widowControl w:val="0"/>
        <w:tabs>
          <w:tab w:val="left" w:pos="1170"/>
        </w:tabs>
        <w:rPr>
          <w:rFonts w:cstheme="minorHAnsi"/>
        </w:rPr>
      </w:pPr>
    </w:p>
    <w:p w14:paraId="6CC8BA80" w14:textId="27F2CECA" w:rsidR="00356ED3" w:rsidRPr="00B033EB" w:rsidRDefault="00356ED3" w:rsidP="00356ED3">
      <w:pPr>
        <w:rPr>
          <w:rFonts w:cstheme="minorHAnsi"/>
        </w:rPr>
      </w:pPr>
      <w:r w:rsidRPr="00B033EB">
        <w:rPr>
          <w:rFonts w:cstheme="minorHAnsi"/>
        </w:rPr>
        <w:t xml:space="preserve">Support is available to both full-time and part-time eligible </w:t>
      </w:r>
      <w:r w:rsidR="00E866AA" w:rsidRPr="00B033EB">
        <w:rPr>
          <w:rFonts w:cstheme="minorHAnsi"/>
        </w:rPr>
        <w:t>students</w:t>
      </w:r>
      <w:r w:rsidRPr="00B033EB">
        <w:rPr>
          <w:rFonts w:cstheme="minorHAnsi"/>
        </w:rPr>
        <w:t xml:space="preserve"> on accredited courses. </w:t>
      </w:r>
      <w:r w:rsidR="00E866AA" w:rsidRPr="00B033EB">
        <w:rPr>
          <w:rFonts w:cstheme="minorHAnsi"/>
        </w:rPr>
        <w:t>Students</w:t>
      </w:r>
      <w:r w:rsidRPr="00B033EB">
        <w:rPr>
          <w:rFonts w:cstheme="minorHAnsi"/>
        </w:rPr>
        <w:t xml:space="preserve"> enrolled to higher education courses </w:t>
      </w:r>
      <w:r w:rsidR="00F32198" w:rsidRPr="00B033EB">
        <w:rPr>
          <w:rFonts w:cstheme="minorHAnsi"/>
        </w:rPr>
        <w:t>or</w:t>
      </w:r>
      <w:r w:rsidRPr="00B033EB">
        <w:rPr>
          <w:rFonts w:cstheme="minorHAnsi"/>
        </w:rPr>
        <w:t xml:space="preserve"> waged apprenticeship programmes are not eligible for financial support from these funds.</w:t>
      </w:r>
    </w:p>
    <w:p w14:paraId="5FB4CFEE" w14:textId="77777777" w:rsidR="00034182" w:rsidRPr="00B033EB" w:rsidRDefault="00034182" w:rsidP="00356ED3">
      <w:pPr>
        <w:widowControl w:val="0"/>
        <w:tabs>
          <w:tab w:val="left" w:pos="1170"/>
        </w:tabs>
        <w:jc w:val="both"/>
        <w:rPr>
          <w:rFonts w:cstheme="minorHAnsi"/>
        </w:rPr>
      </w:pPr>
    </w:p>
    <w:p w14:paraId="58D8140F" w14:textId="04EF083A" w:rsidR="008868D9" w:rsidRPr="00695B6B" w:rsidRDefault="00D14F80" w:rsidP="00E03764">
      <w:pPr>
        <w:pStyle w:val="Heading1"/>
        <w:ind w:left="10" w:right="52"/>
        <w:rPr>
          <w:rFonts w:asciiTheme="minorHAnsi" w:hAnsiTheme="minorHAnsi" w:cstheme="minorHAnsi"/>
        </w:rPr>
      </w:pPr>
      <w:r w:rsidRPr="00695B6B">
        <w:rPr>
          <w:rFonts w:asciiTheme="minorHAnsi" w:hAnsiTheme="minorHAnsi" w:cstheme="minorHAnsi"/>
        </w:rPr>
        <w:t>Funding Available</w:t>
      </w:r>
    </w:p>
    <w:p w14:paraId="63F9689E" w14:textId="77777777" w:rsidR="002F3E44" w:rsidRPr="00B033EB" w:rsidRDefault="002F3E44" w:rsidP="008868D9">
      <w:pPr>
        <w:widowControl w:val="0"/>
        <w:tabs>
          <w:tab w:val="left" w:pos="1170"/>
        </w:tabs>
        <w:rPr>
          <w:rFonts w:cstheme="minorHAnsi"/>
          <w:b/>
          <w:bCs/>
          <w:u w:val="single"/>
        </w:rPr>
      </w:pPr>
    </w:p>
    <w:p w14:paraId="3D378513" w14:textId="53766D2E" w:rsidR="00356ED3" w:rsidRPr="00B033EB" w:rsidRDefault="00FE417E" w:rsidP="00356ED3">
      <w:pPr>
        <w:rPr>
          <w:rFonts w:cstheme="minorHAnsi"/>
        </w:rPr>
      </w:pPr>
      <w:r w:rsidRPr="00B033EB">
        <w:rPr>
          <w:rFonts w:cstheme="minorHAnsi"/>
        </w:rPr>
        <w:t>Students</w:t>
      </w:r>
      <w:r w:rsidR="00356ED3" w:rsidRPr="00B033EB">
        <w:rPr>
          <w:rFonts w:cstheme="minorHAnsi"/>
        </w:rPr>
        <w:t xml:space="preserve"> </w:t>
      </w:r>
      <w:r w:rsidR="00115414" w:rsidRPr="00B033EB">
        <w:rPr>
          <w:rFonts w:cstheme="minorHAnsi"/>
        </w:rPr>
        <w:t>with a</w:t>
      </w:r>
      <w:r w:rsidR="00356ED3" w:rsidRPr="00B033EB">
        <w:rPr>
          <w:rFonts w:cstheme="minorHAnsi"/>
        </w:rPr>
        <w:t xml:space="preserve"> household income below £</w:t>
      </w:r>
      <w:r w:rsidR="009C6F97" w:rsidRPr="00B033EB">
        <w:rPr>
          <w:rFonts w:cstheme="minorHAnsi"/>
        </w:rPr>
        <w:t>40</w:t>
      </w:r>
      <w:r w:rsidR="00356ED3" w:rsidRPr="00B033EB">
        <w:rPr>
          <w:rFonts w:cstheme="minorHAnsi"/>
        </w:rPr>
        <w:t>,000 per year can apply for:</w:t>
      </w:r>
    </w:p>
    <w:p w14:paraId="6293940D" w14:textId="7DE90D6B" w:rsidR="00A473A4" w:rsidRPr="00B033EB" w:rsidRDefault="00A473A4" w:rsidP="00A473A4">
      <w:pPr>
        <w:numPr>
          <w:ilvl w:val="0"/>
          <w:numId w:val="1"/>
        </w:numPr>
        <w:rPr>
          <w:rFonts w:cstheme="minorHAnsi"/>
        </w:rPr>
      </w:pPr>
      <w:r w:rsidRPr="00B033EB">
        <w:rPr>
          <w:rFonts w:cstheme="minorHAnsi"/>
          <w:b/>
          <w:bCs/>
          <w:u w:val="single"/>
        </w:rPr>
        <w:t>Free</w:t>
      </w:r>
      <w:r w:rsidRPr="00B033EB">
        <w:rPr>
          <w:rFonts w:cstheme="minorHAnsi"/>
          <w:b/>
          <w:bCs/>
          <w:color w:val="FF0000"/>
          <w:u w:val="single"/>
        </w:rPr>
        <w:t xml:space="preserve"> </w:t>
      </w:r>
      <w:r w:rsidRPr="00B033EB">
        <w:rPr>
          <w:rFonts w:cstheme="minorHAnsi"/>
          <w:b/>
          <w:bCs/>
          <w:u w:val="single"/>
        </w:rPr>
        <w:t>meals</w:t>
      </w:r>
      <w:r w:rsidR="00DB78A2" w:rsidRPr="00B033EB">
        <w:rPr>
          <w:rFonts w:cstheme="minorHAnsi"/>
        </w:rPr>
        <w:t xml:space="preserve">. </w:t>
      </w:r>
      <w:r w:rsidRPr="00B033EB">
        <w:rPr>
          <w:rFonts w:cstheme="minorHAnsi"/>
        </w:rPr>
        <w:t>Please note these are only provided in college food outlets and no cash alternative can be paid.</w:t>
      </w:r>
    </w:p>
    <w:p w14:paraId="0D61DE14" w14:textId="5CE6F59E" w:rsidR="00356ED3" w:rsidRPr="00B033EB" w:rsidRDefault="00356ED3" w:rsidP="00356ED3">
      <w:pPr>
        <w:numPr>
          <w:ilvl w:val="0"/>
          <w:numId w:val="1"/>
        </w:numPr>
        <w:rPr>
          <w:rFonts w:cstheme="minorHAnsi"/>
        </w:rPr>
      </w:pPr>
      <w:r w:rsidRPr="00B033EB">
        <w:rPr>
          <w:rFonts w:cstheme="minorHAnsi"/>
          <w:b/>
          <w:bCs/>
          <w:u w:val="single"/>
        </w:rPr>
        <w:t>Travel costs</w:t>
      </w:r>
      <w:r w:rsidRPr="00B033EB">
        <w:rPr>
          <w:rFonts w:cstheme="minorHAnsi"/>
        </w:rPr>
        <w:t xml:space="preserve"> (if living over 1.5 miles from the college). Transport</w:t>
      </w:r>
      <w:r w:rsidRPr="00B033EB">
        <w:rPr>
          <w:rFonts w:cstheme="minorHAnsi"/>
          <w:color w:val="000000" w:themeColor="text1"/>
        </w:rPr>
        <w:t xml:space="preserve"> will be funded via the most </w:t>
      </w:r>
      <w:r w:rsidR="00F71FCE" w:rsidRPr="00B033EB">
        <w:rPr>
          <w:rFonts w:cstheme="minorHAnsi"/>
          <w:color w:val="000000" w:themeColor="text1"/>
        </w:rPr>
        <w:t>practical</w:t>
      </w:r>
      <w:r w:rsidRPr="00B033EB">
        <w:rPr>
          <w:rFonts w:cstheme="minorHAnsi"/>
          <w:color w:val="000000" w:themeColor="text1"/>
        </w:rPr>
        <w:t xml:space="preserve"> means of public transport. </w:t>
      </w:r>
      <w:r w:rsidR="00B373D2" w:rsidRPr="00B033EB">
        <w:rPr>
          <w:rFonts w:cstheme="minorHAnsi"/>
          <w:color w:val="000000" w:themeColor="text1"/>
        </w:rPr>
        <w:t xml:space="preserve">Students travelling from areas where there are no direct public transport links within </w:t>
      </w:r>
      <w:r w:rsidR="00B373D2" w:rsidRPr="00B033EB">
        <w:rPr>
          <w:rFonts w:cstheme="minorHAnsi"/>
          <w:color w:val="000000" w:themeColor="text1"/>
        </w:rPr>
        <w:lastRenderedPageBreak/>
        <w:t>reasonable distance should contact student services at the college to discuss bespoke travel options</w:t>
      </w:r>
      <w:r w:rsidRPr="00B033EB">
        <w:rPr>
          <w:rFonts w:cstheme="minorHAnsi"/>
          <w:color w:val="000000" w:themeColor="text1"/>
        </w:rPr>
        <w:t>. This may include petrol costs paid at £0.</w:t>
      </w:r>
      <w:r w:rsidR="009F4879" w:rsidRPr="00B033EB">
        <w:rPr>
          <w:rFonts w:cstheme="minorHAnsi"/>
          <w:color w:val="000000" w:themeColor="text1"/>
        </w:rPr>
        <w:t>4</w:t>
      </w:r>
      <w:r w:rsidRPr="00B033EB">
        <w:rPr>
          <w:rFonts w:cstheme="minorHAnsi"/>
          <w:color w:val="000000" w:themeColor="text1"/>
        </w:rPr>
        <w:t>5p per mile.</w:t>
      </w:r>
    </w:p>
    <w:p w14:paraId="3A0014B7" w14:textId="3D70C478" w:rsidR="00A473A4" w:rsidRPr="00B033EB" w:rsidRDefault="00A473A4" w:rsidP="00A473A4">
      <w:pPr>
        <w:numPr>
          <w:ilvl w:val="0"/>
          <w:numId w:val="1"/>
        </w:numPr>
        <w:rPr>
          <w:rFonts w:cstheme="minorHAnsi"/>
        </w:rPr>
      </w:pPr>
      <w:r w:rsidRPr="00B033EB">
        <w:rPr>
          <w:rFonts w:cstheme="minorHAnsi"/>
          <w:b/>
          <w:bCs/>
          <w:u w:val="single"/>
        </w:rPr>
        <w:t>Childcare costs</w:t>
      </w:r>
      <w:r w:rsidRPr="00B033EB">
        <w:rPr>
          <w:rFonts w:cstheme="minorHAnsi"/>
        </w:rPr>
        <w:t xml:space="preserve"> for registered childminders, nurseries and after-school clubs which are Ofsted-registered.  </w:t>
      </w:r>
    </w:p>
    <w:p w14:paraId="28E983FE" w14:textId="2D3AA0ED" w:rsidR="00356ED3" w:rsidRPr="00B033EB" w:rsidRDefault="00356ED3" w:rsidP="00356ED3">
      <w:pPr>
        <w:numPr>
          <w:ilvl w:val="0"/>
          <w:numId w:val="1"/>
        </w:numPr>
        <w:rPr>
          <w:rFonts w:cstheme="minorHAnsi"/>
        </w:rPr>
      </w:pPr>
      <w:r w:rsidRPr="00B033EB">
        <w:rPr>
          <w:rFonts w:cstheme="minorHAnsi"/>
          <w:b/>
          <w:bCs/>
          <w:u w:val="single"/>
        </w:rPr>
        <w:t>Other costs</w:t>
      </w:r>
      <w:r w:rsidRPr="00B033EB">
        <w:rPr>
          <w:rFonts w:cstheme="minorHAnsi"/>
        </w:rPr>
        <w:t xml:space="preserve"> associated with attending College. This may include </w:t>
      </w:r>
      <w:r w:rsidRPr="00B033EB">
        <w:rPr>
          <w:rFonts w:cstheme="minorHAnsi"/>
          <w:b/>
          <w:bCs/>
          <w:u w:val="single"/>
        </w:rPr>
        <w:t>essential equipment</w:t>
      </w:r>
      <w:r w:rsidRPr="00B033EB">
        <w:rPr>
          <w:rFonts w:cstheme="minorHAnsi"/>
        </w:rPr>
        <w:t xml:space="preserve"> (if not already provided free by the </w:t>
      </w:r>
      <w:r w:rsidR="00205652" w:rsidRPr="00B033EB">
        <w:rPr>
          <w:rFonts w:cstheme="minorHAnsi"/>
        </w:rPr>
        <w:t>college</w:t>
      </w:r>
      <w:r w:rsidRPr="00B033EB">
        <w:rPr>
          <w:rFonts w:cstheme="minorHAnsi"/>
        </w:rPr>
        <w:t xml:space="preserve">) and </w:t>
      </w:r>
      <w:r w:rsidRPr="00B033EB">
        <w:rPr>
          <w:rFonts w:cstheme="minorHAnsi"/>
          <w:b/>
          <w:bCs/>
          <w:u w:val="single"/>
        </w:rPr>
        <w:t>course trips.</w:t>
      </w:r>
    </w:p>
    <w:p w14:paraId="47F74549" w14:textId="164251A5" w:rsidR="00356ED3" w:rsidRPr="00B033EB" w:rsidRDefault="00356ED3" w:rsidP="00FF020C">
      <w:pPr>
        <w:numPr>
          <w:ilvl w:val="0"/>
          <w:numId w:val="1"/>
        </w:numPr>
        <w:rPr>
          <w:rFonts w:cstheme="minorHAnsi"/>
          <w:b/>
          <w:bCs/>
          <w:u w:val="single"/>
        </w:rPr>
      </w:pPr>
      <w:r w:rsidRPr="00B033EB">
        <w:rPr>
          <w:rFonts w:cstheme="minorHAnsi"/>
          <w:b/>
          <w:bCs/>
          <w:u w:val="single"/>
        </w:rPr>
        <w:t>Help with cost of attending university interviews/open days and UCAS application fees.</w:t>
      </w:r>
    </w:p>
    <w:p w14:paraId="02EE31BE" w14:textId="77777777" w:rsidR="002F3E44" w:rsidRPr="00B033EB" w:rsidRDefault="002F3E44" w:rsidP="00EA643C">
      <w:pPr>
        <w:rPr>
          <w:rFonts w:cstheme="minorHAnsi"/>
        </w:rPr>
      </w:pPr>
    </w:p>
    <w:p w14:paraId="68493422" w14:textId="77777777" w:rsidR="006512A5" w:rsidRPr="00695B6B" w:rsidRDefault="006512A5" w:rsidP="00E03764">
      <w:pPr>
        <w:pStyle w:val="Heading1"/>
        <w:ind w:left="10" w:right="52"/>
        <w:rPr>
          <w:rFonts w:asciiTheme="minorHAnsi" w:hAnsiTheme="minorHAnsi" w:cstheme="minorHAnsi"/>
        </w:rPr>
      </w:pPr>
      <w:r w:rsidRPr="00695B6B">
        <w:rPr>
          <w:rFonts w:asciiTheme="minorHAnsi" w:hAnsiTheme="minorHAnsi" w:cstheme="minorHAnsi"/>
        </w:rPr>
        <w:t>Additional Travel Support</w:t>
      </w:r>
    </w:p>
    <w:p w14:paraId="5B61DF41" w14:textId="77777777" w:rsidR="006512A5" w:rsidRPr="00B033EB" w:rsidRDefault="006512A5" w:rsidP="006512A5">
      <w:pPr>
        <w:ind w:left="-5" w:right="12"/>
        <w:rPr>
          <w:rFonts w:cstheme="minorHAnsi"/>
        </w:rPr>
      </w:pPr>
    </w:p>
    <w:p w14:paraId="54BEB7D3" w14:textId="77777777" w:rsidR="006512A5" w:rsidRPr="00B033EB" w:rsidRDefault="006512A5" w:rsidP="006512A5">
      <w:pPr>
        <w:ind w:left="-5" w:right="12"/>
        <w:rPr>
          <w:rFonts w:cstheme="minorHAnsi"/>
        </w:rPr>
      </w:pPr>
      <w:r w:rsidRPr="00B033EB">
        <w:rPr>
          <w:rFonts w:cstheme="minorHAnsi"/>
        </w:rPr>
        <w:t>If you are unable to use public transport due to registered disabilities/health conditions, you may be eligible for further assistance. For more information, please contact student services.</w:t>
      </w:r>
    </w:p>
    <w:p w14:paraId="5F2DE9C2" w14:textId="77777777" w:rsidR="00506ADE" w:rsidRPr="00B033EB" w:rsidRDefault="00506ADE" w:rsidP="00356ED3">
      <w:pPr>
        <w:outlineLvl w:val="0"/>
        <w:rPr>
          <w:rFonts w:cstheme="minorHAnsi"/>
          <w:b/>
          <w:bCs/>
          <w:u w:val="single"/>
        </w:rPr>
      </w:pPr>
    </w:p>
    <w:p w14:paraId="0D19BC46" w14:textId="6C21B6BE" w:rsidR="00356ED3" w:rsidRPr="00695B6B" w:rsidRDefault="009633D7" w:rsidP="00E03764">
      <w:pPr>
        <w:pStyle w:val="Heading1"/>
        <w:ind w:left="10" w:right="52"/>
        <w:rPr>
          <w:rFonts w:asciiTheme="minorHAnsi" w:hAnsiTheme="minorHAnsi" w:cstheme="minorHAnsi"/>
        </w:rPr>
      </w:pPr>
      <w:r w:rsidRPr="00695B6B">
        <w:rPr>
          <w:rFonts w:asciiTheme="minorHAnsi" w:hAnsiTheme="minorHAnsi" w:cstheme="minorHAnsi"/>
        </w:rPr>
        <w:t>20+ Childcare</w:t>
      </w:r>
    </w:p>
    <w:p w14:paraId="2F588E71" w14:textId="77777777" w:rsidR="00356ED3" w:rsidRPr="00B033EB" w:rsidRDefault="00356ED3" w:rsidP="00356ED3">
      <w:pPr>
        <w:rPr>
          <w:rFonts w:cstheme="minorHAnsi"/>
        </w:rPr>
      </w:pPr>
    </w:p>
    <w:p w14:paraId="65489BC8" w14:textId="77777777" w:rsidR="00930D70" w:rsidRPr="00B033EB" w:rsidRDefault="00356ED3" w:rsidP="00930D70">
      <w:pPr>
        <w:pStyle w:val="ListParagraph"/>
        <w:numPr>
          <w:ilvl w:val="0"/>
          <w:numId w:val="3"/>
        </w:numPr>
        <w:rPr>
          <w:rFonts w:cstheme="minorHAnsi"/>
        </w:rPr>
      </w:pPr>
      <w:r w:rsidRPr="00B033EB">
        <w:rPr>
          <w:rFonts w:cstheme="minorHAnsi"/>
        </w:rPr>
        <w:t xml:space="preserve">Please note that the </w:t>
      </w:r>
      <w:r w:rsidR="00700580" w:rsidRPr="00B033EB">
        <w:rPr>
          <w:rFonts w:cstheme="minorHAnsi"/>
        </w:rPr>
        <w:t>c</w:t>
      </w:r>
      <w:r w:rsidRPr="00B033EB">
        <w:rPr>
          <w:rFonts w:cstheme="minorHAnsi"/>
        </w:rPr>
        <w:t xml:space="preserve">ollege does not have its own childcare provision and we are not </w:t>
      </w:r>
      <w:r w:rsidR="00381879" w:rsidRPr="00B033EB">
        <w:rPr>
          <w:rFonts w:cstheme="minorHAnsi"/>
        </w:rPr>
        <w:t>permitted</w:t>
      </w:r>
      <w:r w:rsidRPr="00B033EB">
        <w:rPr>
          <w:rFonts w:cstheme="minorHAnsi"/>
        </w:rPr>
        <w:t xml:space="preserve"> to recommend childcare providers. However, Hartlepool Children’s Hub can provide accurate, up-to-date information to parents and carers regarding childcare and children’s services in Hartlepool. They can be contacted on 01429 284284 or by email </w:t>
      </w:r>
      <w:hyperlink r:id="rId6" w:history="1">
        <w:r w:rsidRPr="00B033EB">
          <w:rPr>
            <w:rStyle w:val="Hyperlink"/>
            <w:rFonts w:cstheme="minorHAnsi"/>
            <w:color w:val="auto"/>
          </w:rPr>
          <w:t>childrenshub@hartlepool.gov.uk</w:t>
        </w:r>
      </w:hyperlink>
    </w:p>
    <w:p w14:paraId="6D31B2E4" w14:textId="4E9747EC" w:rsidR="00DD4C75" w:rsidRPr="00B033EB" w:rsidRDefault="00930D70" w:rsidP="00930D70">
      <w:pPr>
        <w:pStyle w:val="ListParagraph"/>
        <w:numPr>
          <w:ilvl w:val="0"/>
          <w:numId w:val="3"/>
        </w:numPr>
        <w:rPr>
          <w:rFonts w:cstheme="minorHAnsi"/>
        </w:rPr>
      </w:pPr>
      <w:r w:rsidRPr="00B033EB">
        <w:rPr>
          <w:rFonts w:cstheme="minorHAnsi"/>
        </w:rPr>
        <w:t>Information about other sources of childcare support is provided on</w:t>
      </w:r>
      <w:r w:rsidR="00D64011" w:rsidRPr="00B033EB">
        <w:rPr>
          <w:rFonts w:cstheme="minorHAnsi"/>
        </w:rPr>
        <w:t xml:space="preserve"> </w:t>
      </w:r>
      <w:hyperlink r:id="rId7" w:tgtFrame="_blank" w:tooltip="https://www.childcarechoices.gov.uk/" w:history="1">
        <w:r w:rsidR="00D64011" w:rsidRPr="00B033EB">
          <w:rPr>
            <w:rStyle w:val="Hyperlink"/>
            <w:rFonts w:cstheme="minorHAnsi"/>
          </w:rPr>
          <w:t>childcare choices</w:t>
        </w:r>
      </w:hyperlink>
      <w:r w:rsidRPr="00B033EB">
        <w:rPr>
          <w:rFonts w:cstheme="minorHAnsi"/>
        </w:rPr>
        <w:t xml:space="preserve">, which includes a </w:t>
      </w:r>
      <w:hyperlink r:id="rId8" w:tgtFrame="_blank" w:tooltip="http://www.gov.uk/childcare-calculator" w:history="1">
        <w:r w:rsidR="00A77FF5" w:rsidRPr="00B033EB">
          <w:rPr>
            <w:rStyle w:val="Hyperlink"/>
            <w:rFonts w:cstheme="minorHAnsi"/>
          </w:rPr>
          <w:t>childcare calculator</w:t>
        </w:r>
      </w:hyperlink>
      <w:r w:rsidRPr="00B033EB">
        <w:rPr>
          <w:rFonts w:cstheme="minorHAnsi"/>
        </w:rPr>
        <w:t xml:space="preserve"> for parents to compare all the government’s childcare offers and check what works best for their families.</w:t>
      </w:r>
    </w:p>
    <w:p w14:paraId="3671E9AE" w14:textId="77777777" w:rsidR="00D34D04" w:rsidRPr="00B033EB" w:rsidRDefault="00356ED3" w:rsidP="00BA4AD0">
      <w:pPr>
        <w:pStyle w:val="ListParagraph"/>
        <w:numPr>
          <w:ilvl w:val="0"/>
          <w:numId w:val="3"/>
        </w:numPr>
        <w:spacing w:before="100" w:beforeAutospacing="1" w:after="100" w:afterAutospacing="1"/>
        <w:rPr>
          <w:rFonts w:cstheme="minorHAnsi"/>
        </w:rPr>
      </w:pPr>
      <w:r w:rsidRPr="00B033EB">
        <w:rPr>
          <w:rFonts w:cstheme="minorHAnsi"/>
        </w:rPr>
        <w:t xml:space="preserve">Students will be expected to use </w:t>
      </w:r>
      <w:r w:rsidR="007C273B" w:rsidRPr="00B033EB">
        <w:rPr>
          <w:rFonts w:cstheme="minorHAnsi"/>
        </w:rPr>
        <w:t>any</w:t>
      </w:r>
      <w:r w:rsidR="00930D70" w:rsidRPr="00B033EB">
        <w:rPr>
          <w:rFonts w:cstheme="minorHAnsi"/>
        </w:rPr>
        <w:t xml:space="preserve"> free</w:t>
      </w:r>
      <w:r w:rsidR="007C273B" w:rsidRPr="00B033EB">
        <w:rPr>
          <w:rFonts w:cstheme="minorHAnsi"/>
        </w:rPr>
        <w:t xml:space="preserve"> Government</w:t>
      </w:r>
      <w:r w:rsidRPr="00B033EB">
        <w:rPr>
          <w:rFonts w:cstheme="minorHAnsi"/>
        </w:rPr>
        <w:t xml:space="preserve"> entitlement</w:t>
      </w:r>
      <w:r w:rsidR="00930D70" w:rsidRPr="00B033EB">
        <w:rPr>
          <w:rFonts w:cstheme="minorHAnsi"/>
        </w:rPr>
        <w:t>s</w:t>
      </w:r>
      <w:r w:rsidRPr="00B033EB">
        <w:rPr>
          <w:rFonts w:cstheme="minorHAnsi"/>
        </w:rPr>
        <w:t xml:space="preserve"> before applying for </w:t>
      </w:r>
      <w:r w:rsidR="00576924" w:rsidRPr="00B033EB">
        <w:rPr>
          <w:rFonts w:cstheme="minorHAnsi"/>
        </w:rPr>
        <w:t>c</w:t>
      </w:r>
      <w:r w:rsidRPr="00B033EB">
        <w:rPr>
          <w:rFonts w:cstheme="minorHAnsi"/>
        </w:rPr>
        <w:t xml:space="preserve">ollege </w:t>
      </w:r>
      <w:r w:rsidR="00C87607" w:rsidRPr="00B033EB">
        <w:rPr>
          <w:rFonts w:cstheme="minorHAnsi"/>
        </w:rPr>
        <w:t>s</w:t>
      </w:r>
      <w:r w:rsidRPr="00B033EB">
        <w:rPr>
          <w:rFonts w:cstheme="minorHAnsi"/>
        </w:rPr>
        <w:t xml:space="preserve">upport </w:t>
      </w:r>
      <w:r w:rsidR="00526078" w:rsidRPr="00B033EB">
        <w:rPr>
          <w:rFonts w:cstheme="minorHAnsi"/>
        </w:rPr>
        <w:t>f</w:t>
      </w:r>
      <w:r w:rsidRPr="00B033EB">
        <w:rPr>
          <w:rFonts w:cstheme="minorHAnsi"/>
        </w:rPr>
        <w:t xml:space="preserve">unds. </w:t>
      </w:r>
    </w:p>
    <w:p w14:paraId="7028FF22" w14:textId="77777777" w:rsidR="00D34D04" w:rsidRDefault="00D34D04" w:rsidP="00D34D04">
      <w:pPr>
        <w:pStyle w:val="ListParagraph"/>
        <w:spacing w:before="100" w:beforeAutospacing="1" w:after="100" w:afterAutospacing="1"/>
        <w:rPr>
          <w:rFonts w:cstheme="minorHAnsi"/>
          <w:color w:val="FF0000"/>
        </w:rPr>
      </w:pPr>
    </w:p>
    <w:p w14:paraId="778FAAB4" w14:textId="77777777" w:rsidR="007B76D9" w:rsidRPr="00B033EB" w:rsidRDefault="007B76D9" w:rsidP="00D34D04">
      <w:pPr>
        <w:pStyle w:val="ListParagraph"/>
        <w:spacing w:before="100" w:beforeAutospacing="1" w:after="100" w:afterAutospacing="1"/>
        <w:rPr>
          <w:rFonts w:cstheme="minorHAnsi"/>
          <w:color w:val="FF0000"/>
        </w:rPr>
      </w:pPr>
    </w:p>
    <w:p w14:paraId="6E8D4E6F" w14:textId="37DB2768" w:rsidR="000F237B" w:rsidRPr="00695B6B" w:rsidRDefault="00DD4C75" w:rsidP="00E03764">
      <w:pPr>
        <w:pStyle w:val="Heading1"/>
        <w:ind w:left="10" w:right="52"/>
        <w:rPr>
          <w:rFonts w:asciiTheme="minorHAnsi" w:hAnsiTheme="minorHAnsi" w:cstheme="minorHAnsi"/>
        </w:rPr>
      </w:pPr>
      <w:r w:rsidRPr="00695B6B">
        <w:rPr>
          <w:rFonts w:asciiTheme="minorHAnsi" w:hAnsiTheme="minorHAnsi" w:cstheme="minorHAnsi"/>
        </w:rPr>
        <w:t>Care to Learn</w:t>
      </w:r>
      <w:r w:rsidR="00E03764" w:rsidRPr="00695B6B">
        <w:rPr>
          <w:rFonts w:asciiTheme="minorHAnsi" w:hAnsiTheme="minorHAnsi" w:cstheme="minorHAnsi"/>
        </w:rPr>
        <w:t xml:space="preserve"> (C2L)</w:t>
      </w:r>
    </w:p>
    <w:p w14:paraId="0F4B6D7A" w14:textId="6928DA4A" w:rsidR="00B722CA" w:rsidRPr="00B033EB" w:rsidRDefault="00FF6E25" w:rsidP="00BA4AD0">
      <w:pPr>
        <w:spacing w:before="100" w:beforeAutospacing="1" w:after="100" w:afterAutospacing="1"/>
        <w:rPr>
          <w:rFonts w:cstheme="minorHAnsi"/>
        </w:rPr>
      </w:pPr>
      <w:r w:rsidRPr="00B033EB">
        <w:rPr>
          <w:rFonts w:cstheme="minorHAnsi"/>
        </w:rPr>
        <w:t xml:space="preserve">Learner support funds may also be used to provide further help with childcare costs for 19-year-old </w:t>
      </w:r>
      <w:r w:rsidR="00255BD7" w:rsidRPr="00B033EB">
        <w:rPr>
          <w:rFonts w:cstheme="minorHAnsi"/>
        </w:rPr>
        <w:t>students</w:t>
      </w:r>
      <w:r w:rsidRPr="00B033EB">
        <w:rPr>
          <w:rFonts w:cstheme="minorHAnsi"/>
        </w:rPr>
        <w:t xml:space="preserve"> in receipt of Care to Learn whose costs exceed the weekly maximum rates for that schem</w:t>
      </w:r>
      <w:r w:rsidR="003A7DD7" w:rsidRPr="00B033EB">
        <w:rPr>
          <w:rFonts w:cstheme="minorHAnsi"/>
        </w:rPr>
        <w:t xml:space="preserve">e </w:t>
      </w:r>
      <w:hyperlink r:id="rId9" w:history="1">
        <w:r w:rsidR="003A7DD7" w:rsidRPr="00B033EB">
          <w:rPr>
            <w:rStyle w:val="Hyperlink"/>
            <w:rFonts w:cstheme="minorHAnsi"/>
          </w:rPr>
          <w:t>https://www.gov.uk/care-to-learn</w:t>
        </w:r>
      </w:hyperlink>
    </w:p>
    <w:p w14:paraId="6303C7E8" w14:textId="77777777" w:rsidR="009204EC" w:rsidRPr="00B033EB" w:rsidRDefault="009204EC" w:rsidP="00BA4AD0">
      <w:pPr>
        <w:spacing w:before="100" w:beforeAutospacing="1" w:after="100" w:afterAutospacing="1"/>
        <w:rPr>
          <w:rFonts w:cstheme="minorHAnsi"/>
          <w:color w:val="FF0000"/>
        </w:rPr>
      </w:pPr>
    </w:p>
    <w:p w14:paraId="10B68263" w14:textId="77777777" w:rsidR="0080308D" w:rsidRPr="007B76D9" w:rsidRDefault="0080308D" w:rsidP="007B76D9">
      <w:pPr>
        <w:pStyle w:val="Heading1"/>
        <w:ind w:right="50"/>
        <w:rPr>
          <w:rFonts w:asciiTheme="minorHAnsi" w:hAnsiTheme="minorHAnsi" w:cstheme="minorHAnsi"/>
        </w:rPr>
      </w:pPr>
      <w:r w:rsidRPr="007B76D9">
        <w:rPr>
          <w:rFonts w:asciiTheme="minorHAnsi" w:hAnsiTheme="minorHAnsi" w:cstheme="minorHAnsi"/>
        </w:rPr>
        <w:t>General Information regarding Funding Applications</w:t>
      </w:r>
    </w:p>
    <w:p w14:paraId="44B4C9F6" w14:textId="77777777" w:rsidR="0080308D" w:rsidRPr="00B033EB" w:rsidRDefault="0080308D" w:rsidP="0080308D">
      <w:pPr>
        <w:rPr>
          <w:rFonts w:cstheme="minorHAnsi"/>
        </w:rPr>
      </w:pPr>
    </w:p>
    <w:p w14:paraId="66B4AC78" w14:textId="77777777" w:rsidR="0080308D" w:rsidRPr="00B033EB" w:rsidRDefault="0080308D" w:rsidP="0080308D">
      <w:pPr>
        <w:pStyle w:val="ListParagraph"/>
        <w:numPr>
          <w:ilvl w:val="0"/>
          <w:numId w:val="2"/>
        </w:numPr>
        <w:rPr>
          <w:rFonts w:cstheme="minorHAnsi"/>
        </w:rPr>
      </w:pPr>
      <w:r w:rsidRPr="00B033EB">
        <w:rPr>
          <w:rFonts w:cstheme="minorHAnsi"/>
        </w:rPr>
        <w:t>It is a learners’ responsibility to tell the Department for Work and Pensions (DWP) about any funding support they receive, as payments may affect eligibility to some benefits.</w:t>
      </w:r>
    </w:p>
    <w:p w14:paraId="3C496A16" w14:textId="3B90A4C5" w:rsidR="0080308D" w:rsidRPr="00B033EB" w:rsidRDefault="0080308D" w:rsidP="0080308D">
      <w:pPr>
        <w:pStyle w:val="ListParagraph"/>
        <w:numPr>
          <w:ilvl w:val="0"/>
          <w:numId w:val="2"/>
        </w:numPr>
        <w:rPr>
          <w:rFonts w:cstheme="minorHAnsi"/>
        </w:rPr>
      </w:pPr>
      <w:r w:rsidRPr="00B033EB">
        <w:rPr>
          <w:rFonts w:cstheme="minorHAnsi"/>
        </w:rPr>
        <w:t>Where young adults live with parent(s)/carer(s) at home, we do not include parent(s)/carer(s) income</w:t>
      </w:r>
      <w:r w:rsidR="00926DA8" w:rsidRPr="00B033EB">
        <w:rPr>
          <w:rFonts w:cstheme="minorHAnsi"/>
        </w:rPr>
        <w:t>/benefits</w:t>
      </w:r>
      <w:r w:rsidRPr="00B033EB">
        <w:rPr>
          <w:rFonts w:cstheme="minorHAnsi"/>
        </w:rPr>
        <w:t xml:space="preserve"> in our application assessments. </w:t>
      </w:r>
      <w:r w:rsidR="005432E0" w:rsidRPr="00B033EB">
        <w:rPr>
          <w:rFonts w:cstheme="minorHAnsi"/>
        </w:rPr>
        <w:t>It i</w:t>
      </w:r>
      <w:r w:rsidR="00336A0E" w:rsidRPr="00B033EB">
        <w:rPr>
          <w:rFonts w:cstheme="minorHAnsi"/>
        </w:rPr>
        <w:t>s</w:t>
      </w:r>
      <w:r w:rsidR="005432E0" w:rsidRPr="00B033EB">
        <w:rPr>
          <w:rFonts w:cstheme="minorHAnsi"/>
        </w:rPr>
        <w:t xml:space="preserve"> based </w:t>
      </w:r>
      <w:r w:rsidR="009204EC" w:rsidRPr="00B033EB">
        <w:rPr>
          <w:rFonts w:cstheme="minorHAnsi"/>
        </w:rPr>
        <w:t>solely</w:t>
      </w:r>
      <w:r w:rsidR="005432E0" w:rsidRPr="00B033EB">
        <w:rPr>
          <w:rFonts w:cstheme="minorHAnsi"/>
        </w:rPr>
        <w:t xml:space="preserve"> on the student’s income</w:t>
      </w:r>
      <w:r w:rsidR="00336A0E" w:rsidRPr="00B033EB">
        <w:rPr>
          <w:rFonts w:cstheme="minorHAnsi"/>
        </w:rPr>
        <w:t>/benefits,</w:t>
      </w:r>
    </w:p>
    <w:p w14:paraId="2E3316A4" w14:textId="120A42CB" w:rsidR="00A806B4" w:rsidRDefault="0080308D" w:rsidP="0080308D">
      <w:pPr>
        <w:pStyle w:val="ListParagraph"/>
        <w:numPr>
          <w:ilvl w:val="0"/>
          <w:numId w:val="2"/>
        </w:numPr>
        <w:rPr>
          <w:rFonts w:cstheme="minorHAnsi"/>
        </w:rPr>
      </w:pPr>
      <w:r w:rsidRPr="00B033EB">
        <w:rPr>
          <w:rFonts w:cstheme="minorHAnsi"/>
        </w:rPr>
        <w:t>All approvals for financial support are based on household income and availability of funds. You are advised to apply for support as soon as possible.</w:t>
      </w:r>
    </w:p>
    <w:p w14:paraId="5AD6B4BD" w14:textId="77777777" w:rsidR="007B76D9" w:rsidRPr="007B76D9" w:rsidRDefault="007B76D9" w:rsidP="007B76D9">
      <w:pPr>
        <w:pStyle w:val="ListParagraph"/>
        <w:rPr>
          <w:rFonts w:cstheme="minorHAnsi"/>
        </w:rPr>
      </w:pPr>
    </w:p>
    <w:p w14:paraId="6A54F212" w14:textId="77777777" w:rsidR="005754FB" w:rsidRPr="00B033EB" w:rsidRDefault="005754FB" w:rsidP="005754FB">
      <w:pPr>
        <w:spacing w:after="7" w:line="250" w:lineRule="auto"/>
        <w:ind w:left="-5"/>
        <w:rPr>
          <w:rFonts w:cstheme="minorHAnsi"/>
        </w:rPr>
      </w:pPr>
      <w:r w:rsidRPr="00B033EB">
        <w:rPr>
          <w:rFonts w:cstheme="minorHAnsi"/>
          <w:b/>
        </w:rPr>
        <w:t>Appealing a Decision</w:t>
      </w:r>
    </w:p>
    <w:p w14:paraId="40AEFB4F" w14:textId="77777777" w:rsidR="00F37385" w:rsidRPr="00B033EB" w:rsidRDefault="00F37385" w:rsidP="00F37385">
      <w:pPr>
        <w:ind w:left="-5" w:right="12"/>
        <w:rPr>
          <w:rFonts w:cstheme="minorHAnsi"/>
        </w:rPr>
      </w:pPr>
      <w:r w:rsidRPr="00B033EB">
        <w:rPr>
          <w:rFonts w:cstheme="minorHAnsi"/>
        </w:rPr>
        <w:t>If your application is rejected, you will be notified by email with reasons for the decision. You have the right to appeal any decision. This appeal will be forwarded to the Head of Student Support for consideration. Please explain in detail the reasons for your appeal. This will be dealt with in accordance with the college’s appeals procedures.</w:t>
      </w:r>
    </w:p>
    <w:p w14:paraId="60D1EFC3" w14:textId="77777777" w:rsidR="000C0A53" w:rsidRPr="00B033EB" w:rsidRDefault="000C0A53" w:rsidP="005754FB">
      <w:pPr>
        <w:ind w:left="-5" w:right="12"/>
        <w:rPr>
          <w:rFonts w:cstheme="minorHAnsi"/>
        </w:rPr>
      </w:pPr>
    </w:p>
    <w:p w14:paraId="18A568C7" w14:textId="67BCCBBC" w:rsidR="000C0A53" w:rsidRPr="00B033EB" w:rsidRDefault="000C0A53" w:rsidP="000C0A53">
      <w:pPr>
        <w:spacing w:after="7" w:line="250" w:lineRule="auto"/>
        <w:rPr>
          <w:rFonts w:cstheme="minorHAnsi"/>
          <w:b/>
          <w:bCs/>
        </w:rPr>
      </w:pPr>
      <w:r w:rsidRPr="00B033EB">
        <w:rPr>
          <w:rFonts w:cstheme="minorHAnsi"/>
          <w:b/>
          <w:bCs/>
        </w:rPr>
        <w:t xml:space="preserve">If you have any </w:t>
      </w:r>
      <w:r w:rsidR="00B3184E" w:rsidRPr="00B033EB">
        <w:rPr>
          <w:rFonts w:cstheme="minorHAnsi"/>
          <w:b/>
          <w:bCs/>
        </w:rPr>
        <w:t>questions</w:t>
      </w:r>
      <w:r w:rsidR="00362447" w:rsidRPr="00B033EB">
        <w:rPr>
          <w:rFonts w:cstheme="minorHAnsi"/>
          <w:b/>
          <w:bCs/>
        </w:rPr>
        <w:t>/comments</w:t>
      </w:r>
      <w:r w:rsidRPr="00B033EB">
        <w:rPr>
          <w:rFonts w:cstheme="minorHAnsi"/>
          <w:b/>
          <w:bCs/>
        </w:rPr>
        <w:t xml:space="preserve"> or suggestions on how we can improve our service, please feel free to contact us</w:t>
      </w:r>
      <w:r w:rsidR="0075749F" w:rsidRPr="00B033EB">
        <w:rPr>
          <w:rFonts w:cstheme="minorHAnsi"/>
          <w:b/>
          <w:bCs/>
        </w:rPr>
        <w:t>:</w:t>
      </w:r>
    </w:p>
    <w:p w14:paraId="7CC5A5CD" w14:textId="77777777" w:rsidR="006C79B7" w:rsidRPr="00B033EB" w:rsidRDefault="006C79B7" w:rsidP="006C79B7">
      <w:pPr>
        <w:ind w:left="-5" w:right="12"/>
        <w:rPr>
          <w:rFonts w:cstheme="minorHAnsi"/>
        </w:rPr>
      </w:pPr>
    </w:p>
    <w:p w14:paraId="45769DC3" w14:textId="77777777" w:rsidR="006C79B7" w:rsidRPr="003E0CF6" w:rsidRDefault="006C79B7" w:rsidP="006C79B7">
      <w:pPr>
        <w:pStyle w:val="Heading1"/>
        <w:ind w:right="50"/>
        <w:rPr>
          <w:rFonts w:asciiTheme="minorHAnsi" w:hAnsiTheme="minorHAnsi" w:cstheme="minorHAnsi"/>
        </w:rPr>
      </w:pPr>
      <w:r w:rsidRPr="003E0CF6">
        <w:rPr>
          <w:rFonts w:asciiTheme="minorHAnsi" w:hAnsiTheme="minorHAnsi" w:cstheme="minorHAnsi"/>
        </w:rPr>
        <w:t>Email</w:t>
      </w:r>
    </w:p>
    <w:p w14:paraId="6422DBE0" w14:textId="0432F047" w:rsidR="006C79B7" w:rsidRDefault="006C79B7" w:rsidP="004E7512">
      <w:pPr>
        <w:ind w:left="-5" w:right="12"/>
        <w:rPr>
          <w:rFonts w:cstheme="minorHAnsi"/>
        </w:rPr>
      </w:pPr>
      <w:hyperlink r:id="rId10" w:history="1">
        <w:r w:rsidRPr="00B033EB">
          <w:rPr>
            <w:rStyle w:val="Hyperlink"/>
            <w:rFonts w:cstheme="minorHAnsi"/>
          </w:rPr>
          <w:t>bursaryadmin@hartlepoolfe.ac.uk</w:t>
        </w:r>
      </w:hyperlink>
    </w:p>
    <w:p w14:paraId="4DF63CC6" w14:textId="77777777" w:rsidR="003E0CF6" w:rsidRPr="00B033EB" w:rsidRDefault="003E0CF6" w:rsidP="004E7512">
      <w:pPr>
        <w:ind w:left="-5" w:right="12"/>
        <w:rPr>
          <w:rFonts w:cstheme="minorHAnsi"/>
          <w:color w:val="0000FF"/>
          <w:u w:val="single" w:color="0000FF"/>
        </w:rPr>
      </w:pPr>
    </w:p>
    <w:p w14:paraId="478D555D" w14:textId="77777777" w:rsidR="00BB103B" w:rsidRPr="003E0CF6" w:rsidRDefault="00BB103B" w:rsidP="00BB103B">
      <w:pPr>
        <w:pStyle w:val="Heading1"/>
        <w:ind w:right="50"/>
        <w:rPr>
          <w:rFonts w:asciiTheme="minorHAnsi" w:hAnsiTheme="minorHAnsi" w:cstheme="minorHAnsi"/>
        </w:rPr>
      </w:pPr>
      <w:r w:rsidRPr="003E0CF6">
        <w:rPr>
          <w:rFonts w:asciiTheme="minorHAnsi" w:hAnsiTheme="minorHAnsi" w:cstheme="minorHAnsi"/>
        </w:rPr>
        <w:t>Phone</w:t>
      </w:r>
    </w:p>
    <w:p w14:paraId="5D99D75E" w14:textId="46E24DCB" w:rsidR="00BB103B" w:rsidRPr="00B033EB" w:rsidRDefault="00BB103B" w:rsidP="00BB103B">
      <w:pPr>
        <w:ind w:left="-5" w:right="12"/>
        <w:rPr>
          <w:rFonts w:cstheme="minorHAnsi"/>
        </w:rPr>
      </w:pPr>
      <w:r w:rsidRPr="00B033EB">
        <w:rPr>
          <w:rFonts w:cstheme="minorHAnsi"/>
        </w:rPr>
        <w:t>(01429 295111)</w:t>
      </w:r>
    </w:p>
    <w:p w14:paraId="204C29A7" w14:textId="16AE28C0" w:rsidR="70E29A2E" w:rsidRPr="00B033EB" w:rsidRDefault="70E29A2E" w:rsidP="70E29A2E">
      <w:pPr>
        <w:ind w:left="-5" w:right="12"/>
        <w:rPr>
          <w:rFonts w:cstheme="minorHAnsi"/>
        </w:rPr>
      </w:pPr>
    </w:p>
    <w:p w14:paraId="531AD5EA" w14:textId="77777777" w:rsidR="00BB103B" w:rsidRPr="00B033EB" w:rsidRDefault="00BB103B" w:rsidP="006C79B7">
      <w:pPr>
        <w:ind w:left="-5" w:right="12"/>
        <w:rPr>
          <w:rFonts w:cstheme="minorHAnsi"/>
        </w:rPr>
      </w:pPr>
    </w:p>
    <w:p w14:paraId="79DDA086" w14:textId="048A954A" w:rsidR="009A603D" w:rsidRPr="00B033EB" w:rsidRDefault="009A603D" w:rsidP="006C79B7">
      <w:pPr>
        <w:widowControl w:val="0"/>
        <w:tabs>
          <w:tab w:val="left" w:pos="1170"/>
        </w:tabs>
        <w:rPr>
          <w:rFonts w:cstheme="minorHAnsi"/>
          <w:b/>
          <w:bCs/>
          <w:color w:val="0000FF"/>
          <w:u w:val="single"/>
        </w:rPr>
      </w:pPr>
    </w:p>
    <w:sectPr w:rsidR="009A603D" w:rsidRPr="00B033EB">
      <w:pgSz w:w="11906" w:h="16838"/>
      <w:pgMar w:top="425" w:right="709" w:bottom="720"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0204"/>
    <w:multiLevelType w:val="hybridMultilevel"/>
    <w:tmpl w:val="EDDCBD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D63439"/>
    <w:multiLevelType w:val="hybridMultilevel"/>
    <w:tmpl w:val="6810C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714ABE"/>
    <w:multiLevelType w:val="hybridMultilevel"/>
    <w:tmpl w:val="419EB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2713624">
    <w:abstractNumId w:val="0"/>
  </w:num>
  <w:num w:numId="2" w16cid:durableId="1526598588">
    <w:abstractNumId w:val="2"/>
  </w:num>
  <w:num w:numId="3" w16cid:durableId="1623996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ED3"/>
    <w:rsid w:val="00001172"/>
    <w:rsid w:val="0000312E"/>
    <w:rsid w:val="00005102"/>
    <w:rsid w:val="000051F5"/>
    <w:rsid w:val="0001738F"/>
    <w:rsid w:val="00032190"/>
    <w:rsid w:val="00034182"/>
    <w:rsid w:val="00036B5C"/>
    <w:rsid w:val="00072F7C"/>
    <w:rsid w:val="000B2A93"/>
    <w:rsid w:val="000C0A53"/>
    <w:rsid w:val="000F237B"/>
    <w:rsid w:val="000F2CC7"/>
    <w:rsid w:val="00112794"/>
    <w:rsid w:val="00115414"/>
    <w:rsid w:val="00124CBA"/>
    <w:rsid w:val="0013547C"/>
    <w:rsid w:val="00151035"/>
    <w:rsid w:val="001574C8"/>
    <w:rsid w:val="0016179C"/>
    <w:rsid w:val="001845DC"/>
    <w:rsid w:val="00195842"/>
    <w:rsid w:val="001A177B"/>
    <w:rsid w:val="001A5F17"/>
    <w:rsid w:val="001B43E0"/>
    <w:rsid w:val="001C629D"/>
    <w:rsid w:val="001D52B3"/>
    <w:rsid w:val="001E4C91"/>
    <w:rsid w:val="001F1582"/>
    <w:rsid w:val="00205652"/>
    <w:rsid w:val="00225A28"/>
    <w:rsid w:val="00255BD7"/>
    <w:rsid w:val="0027438D"/>
    <w:rsid w:val="00276BA5"/>
    <w:rsid w:val="00294721"/>
    <w:rsid w:val="002A3F96"/>
    <w:rsid w:val="002A5799"/>
    <w:rsid w:val="002B3760"/>
    <w:rsid w:val="002D18C9"/>
    <w:rsid w:val="002E2DE3"/>
    <w:rsid w:val="002E5468"/>
    <w:rsid w:val="002F3E44"/>
    <w:rsid w:val="00300241"/>
    <w:rsid w:val="0030669A"/>
    <w:rsid w:val="00334C53"/>
    <w:rsid w:val="0033512F"/>
    <w:rsid w:val="00336A0E"/>
    <w:rsid w:val="00356ED3"/>
    <w:rsid w:val="00362447"/>
    <w:rsid w:val="00381879"/>
    <w:rsid w:val="0039569A"/>
    <w:rsid w:val="003A67CB"/>
    <w:rsid w:val="003A7DD7"/>
    <w:rsid w:val="003B199D"/>
    <w:rsid w:val="003B42F6"/>
    <w:rsid w:val="003D33BD"/>
    <w:rsid w:val="003E0C40"/>
    <w:rsid w:val="003E0CF6"/>
    <w:rsid w:val="003F04F4"/>
    <w:rsid w:val="003F0A17"/>
    <w:rsid w:val="003F1C7A"/>
    <w:rsid w:val="00406FF4"/>
    <w:rsid w:val="00416278"/>
    <w:rsid w:val="00435659"/>
    <w:rsid w:val="00466BDD"/>
    <w:rsid w:val="00466E6D"/>
    <w:rsid w:val="00477084"/>
    <w:rsid w:val="00487E2A"/>
    <w:rsid w:val="00490A72"/>
    <w:rsid w:val="0049454C"/>
    <w:rsid w:val="004957B4"/>
    <w:rsid w:val="004966B0"/>
    <w:rsid w:val="004B0393"/>
    <w:rsid w:val="004C3E05"/>
    <w:rsid w:val="004C6730"/>
    <w:rsid w:val="004C7562"/>
    <w:rsid w:val="004E30D6"/>
    <w:rsid w:val="004E7512"/>
    <w:rsid w:val="004F65A9"/>
    <w:rsid w:val="00506ADE"/>
    <w:rsid w:val="00526078"/>
    <w:rsid w:val="005432E0"/>
    <w:rsid w:val="00550178"/>
    <w:rsid w:val="005754FB"/>
    <w:rsid w:val="00576924"/>
    <w:rsid w:val="00577723"/>
    <w:rsid w:val="00577E69"/>
    <w:rsid w:val="005918A1"/>
    <w:rsid w:val="00595652"/>
    <w:rsid w:val="00597C60"/>
    <w:rsid w:val="005B4C06"/>
    <w:rsid w:val="005B73AB"/>
    <w:rsid w:val="005E1427"/>
    <w:rsid w:val="0061227A"/>
    <w:rsid w:val="00620168"/>
    <w:rsid w:val="00626AE0"/>
    <w:rsid w:val="00645A5A"/>
    <w:rsid w:val="00647336"/>
    <w:rsid w:val="006512A5"/>
    <w:rsid w:val="0066707D"/>
    <w:rsid w:val="0067234E"/>
    <w:rsid w:val="00695B6B"/>
    <w:rsid w:val="006979A5"/>
    <w:rsid w:val="006C79B7"/>
    <w:rsid w:val="006D5DF8"/>
    <w:rsid w:val="006E03F7"/>
    <w:rsid w:val="006E18DC"/>
    <w:rsid w:val="00700580"/>
    <w:rsid w:val="00730E94"/>
    <w:rsid w:val="007326E3"/>
    <w:rsid w:val="0075749F"/>
    <w:rsid w:val="00777F3F"/>
    <w:rsid w:val="00783B84"/>
    <w:rsid w:val="007B76D9"/>
    <w:rsid w:val="007C273B"/>
    <w:rsid w:val="007C623C"/>
    <w:rsid w:val="007E31E8"/>
    <w:rsid w:val="007E5540"/>
    <w:rsid w:val="0080308D"/>
    <w:rsid w:val="008114CC"/>
    <w:rsid w:val="00813BDC"/>
    <w:rsid w:val="0081513C"/>
    <w:rsid w:val="00834482"/>
    <w:rsid w:val="00836EF4"/>
    <w:rsid w:val="00842D37"/>
    <w:rsid w:val="0087393C"/>
    <w:rsid w:val="00884522"/>
    <w:rsid w:val="00886059"/>
    <w:rsid w:val="008868D9"/>
    <w:rsid w:val="008902C2"/>
    <w:rsid w:val="00895737"/>
    <w:rsid w:val="008A45B7"/>
    <w:rsid w:val="008F0503"/>
    <w:rsid w:val="009033AD"/>
    <w:rsid w:val="00905B61"/>
    <w:rsid w:val="00910618"/>
    <w:rsid w:val="00912289"/>
    <w:rsid w:val="009204EC"/>
    <w:rsid w:val="00922CB4"/>
    <w:rsid w:val="00926DA8"/>
    <w:rsid w:val="00930D70"/>
    <w:rsid w:val="009312A2"/>
    <w:rsid w:val="00931AD0"/>
    <w:rsid w:val="009633D7"/>
    <w:rsid w:val="0099592B"/>
    <w:rsid w:val="009A31D9"/>
    <w:rsid w:val="009A603D"/>
    <w:rsid w:val="009C6F97"/>
    <w:rsid w:val="009E3115"/>
    <w:rsid w:val="009E5168"/>
    <w:rsid w:val="009F06DD"/>
    <w:rsid w:val="009F1CE5"/>
    <w:rsid w:val="009F4879"/>
    <w:rsid w:val="00A34D88"/>
    <w:rsid w:val="00A46E76"/>
    <w:rsid w:val="00A473A4"/>
    <w:rsid w:val="00A77FF5"/>
    <w:rsid w:val="00A806B4"/>
    <w:rsid w:val="00A838BD"/>
    <w:rsid w:val="00AA78A0"/>
    <w:rsid w:val="00AD3CC3"/>
    <w:rsid w:val="00AE30A3"/>
    <w:rsid w:val="00AE64CF"/>
    <w:rsid w:val="00AE66EA"/>
    <w:rsid w:val="00B033EB"/>
    <w:rsid w:val="00B0486D"/>
    <w:rsid w:val="00B23E03"/>
    <w:rsid w:val="00B3184E"/>
    <w:rsid w:val="00B373D2"/>
    <w:rsid w:val="00B42473"/>
    <w:rsid w:val="00B722CA"/>
    <w:rsid w:val="00B83A3D"/>
    <w:rsid w:val="00B869FE"/>
    <w:rsid w:val="00B94AE6"/>
    <w:rsid w:val="00B97342"/>
    <w:rsid w:val="00BA4AD0"/>
    <w:rsid w:val="00BB103B"/>
    <w:rsid w:val="00BB6060"/>
    <w:rsid w:val="00BB7A0C"/>
    <w:rsid w:val="00BD10A9"/>
    <w:rsid w:val="00BD48A6"/>
    <w:rsid w:val="00BD4CF6"/>
    <w:rsid w:val="00BE4410"/>
    <w:rsid w:val="00C1210C"/>
    <w:rsid w:val="00C14847"/>
    <w:rsid w:val="00C84855"/>
    <w:rsid w:val="00C87607"/>
    <w:rsid w:val="00C93486"/>
    <w:rsid w:val="00CC0BA3"/>
    <w:rsid w:val="00CC3EA4"/>
    <w:rsid w:val="00CD40BB"/>
    <w:rsid w:val="00D13173"/>
    <w:rsid w:val="00D14F80"/>
    <w:rsid w:val="00D20DE4"/>
    <w:rsid w:val="00D34D04"/>
    <w:rsid w:val="00D52786"/>
    <w:rsid w:val="00D64011"/>
    <w:rsid w:val="00DB0064"/>
    <w:rsid w:val="00DB78A2"/>
    <w:rsid w:val="00DC6568"/>
    <w:rsid w:val="00DD2189"/>
    <w:rsid w:val="00DD4C75"/>
    <w:rsid w:val="00E01F31"/>
    <w:rsid w:val="00E03764"/>
    <w:rsid w:val="00E14ABC"/>
    <w:rsid w:val="00E26169"/>
    <w:rsid w:val="00E75B98"/>
    <w:rsid w:val="00E77836"/>
    <w:rsid w:val="00E866AA"/>
    <w:rsid w:val="00E9794A"/>
    <w:rsid w:val="00EA3385"/>
    <w:rsid w:val="00EA643C"/>
    <w:rsid w:val="00EA73F2"/>
    <w:rsid w:val="00ED6BF1"/>
    <w:rsid w:val="00F2196D"/>
    <w:rsid w:val="00F22379"/>
    <w:rsid w:val="00F30205"/>
    <w:rsid w:val="00F32198"/>
    <w:rsid w:val="00F37385"/>
    <w:rsid w:val="00F44D95"/>
    <w:rsid w:val="00F61A59"/>
    <w:rsid w:val="00F71FCE"/>
    <w:rsid w:val="00F76750"/>
    <w:rsid w:val="00F80C77"/>
    <w:rsid w:val="00F85961"/>
    <w:rsid w:val="00FB685D"/>
    <w:rsid w:val="00FC52E0"/>
    <w:rsid w:val="00FE417E"/>
    <w:rsid w:val="00FF020C"/>
    <w:rsid w:val="00FF3EEA"/>
    <w:rsid w:val="00FF6E25"/>
    <w:rsid w:val="377E5498"/>
    <w:rsid w:val="70E29A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9A044"/>
  <w15:chartTrackingRefBased/>
  <w15:docId w15:val="{65514C9F-135E-4B21-9D6C-A407489D3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86D"/>
  </w:style>
  <w:style w:type="paragraph" w:styleId="Heading1">
    <w:name w:val="heading 1"/>
    <w:basedOn w:val="Normal"/>
    <w:next w:val="Normal"/>
    <w:link w:val="Heading1Char"/>
    <w:uiPriority w:val="9"/>
    <w:qFormat/>
    <w:rsid w:val="00B0486D"/>
    <w:pPr>
      <w:keepNext/>
      <w:keepLines/>
      <w:pBdr>
        <w:left w:val="single" w:sz="12" w:space="12" w:color="C0504D"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unhideWhenUsed/>
    <w:qFormat/>
    <w:rsid w:val="00B0486D"/>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B0486D"/>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B0486D"/>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B0486D"/>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B0486D"/>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B0486D"/>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B0486D"/>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B0486D"/>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486D"/>
    <w:rPr>
      <w:rFonts w:asciiTheme="majorHAnsi" w:eastAsiaTheme="majorEastAsia" w:hAnsiTheme="majorHAnsi" w:cstheme="majorBidi"/>
      <w:sz w:val="36"/>
      <w:szCs w:val="36"/>
    </w:rPr>
  </w:style>
  <w:style w:type="character" w:styleId="Hyperlink">
    <w:name w:val="Hyperlink"/>
    <w:uiPriority w:val="99"/>
    <w:rsid w:val="00356ED3"/>
    <w:rPr>
      <w:color w:val="0000FF"/>
      <w:u w:val="single"/>
    </w:rPr>
  </w:style>
  <w:style w:type="paragraph" w:styleId="ListParagraph">
    <w:name w:val="List Paragraph"/>
    <w:basedOn w:val="Normal"/>
    <w:uiPriority w:val="34"/>
    <w:qFormat/>
    <w:rsid w:val="00356ED3"/>
    <w:pPr>
      <w:ind w:left="720"/>
      <w:contextualSpacing/>
    </w:pPr>
  </w:style>
  <w:style w:type="character" w:styleId="UnresolvedMention">
    <w:name w:val="Unresolved Mention"/>
    <w:basedOn w:val="DefaultParagraphFont"/>
    <w:uiPriority w:val="99"/>
    <w:semiHidden/>
    <w:unhideWhenUsed/>
    <w:rsid w:val="00884522"/>
    <w:rPr>
      <w:color w:val="605E5C"/>
      <w:shd w:val="clear" w:color="auto" w:fill="E1DFDD"/>
    </w:rPr>
  </w:style>
  <w:style w:type="character" w:customStyle="1" w:styleId="Heading1Char">
    <w:name w:val="Heading 1 Char"/>
    <w:basedOn w:val="DefaultParagraphFont"/>
    <w:link w:val="Heading1"/>
    <w:uiPriority w:val="9"/>
    <w:rsid w:val="00B0486D"/>
    <w:rPr>
      <w:rFonts w:asciiTheme="majorHAnsi" w:eastAsiaTheme="majorEastAsia" w:hAnsiTheme="majorHAnsi" w:cstheme="majorBidi"/>
      <w:caps/>
      <w:spacing w:val="10"/>
      <w:sz w:val="36"/>
      <w:szCs w:val="36"/>
    </w:rPr>
  </w:style>
  <w:style w:type="character" w:customStyle="1" w:styleId="Heading3Char">
    <w:name w:val="Heading 3 Char"/>
    <w:basedOn w:val="DefaultParagraphFont"/>
    <w:link w:val="Heading3"/>
    <w:uiPriority w:val="9"/>
    <w:semiHidden/>
    <w:rsid w:val="00B0486D"/>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B0486D"/>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B0486D"/>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B0486D"/>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B0486D"/>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B0486D"/>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B0486D"/>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B0486D"/>
    <w:pPr>
      <w:spacing w:line="240" w:lineRule="auto"/>
    </w:pPr>
    <w:rPr>
      <w:b/>
      <w:bCs/>
      <w:color w:val="C0504D" w:themeColor="accent2"/>
      <w:spacing w:val="10"/>
      <w:sz w:val="16"/>
      <w:szCs w:val="16"/>
    </w:rPr>
  </w:style>
  <w:style w:type="paragraph" w:styleId="Title">
    <w:name w:val="Title"/>
    <w:basedOn w:val="Normal"/>
    <w:next w:val="Normal"/>
    <w:link w:val="TitleChar"/>
    <w:uiPriority w:val="10"/>
    <w:qFormat/>
    <w:rsid w:val="00B0486D"/>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B0486D"/>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B0486D"/>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B0486D"/>
    <w:rPr>
      <w:color w:val="000000" w:themeColor="text1"/>
      <w:sz w:val="24"/>
      <w:szCs w:val="24"/>
    </w:rPr>
  </w:style>
  <w:style w:type="character" w:styleId="Strong">
    <w:name w:val="Strong"/>
    <w:basedOn w:val="DefaultParagraphFont"/>
    <w:uiPriority w:val="22"/>
    <w:qFormat/>
    <w:rsid w:val="00B0486D"/>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B0486D"/>
    <w:rPr>
      <w:rFonts w:asciiTheme="minorHAnsi" w:eastAsiaTheme="minorEastAsia" w:hAnsiTheme="minorHAnsi" w:cstheme="minorBidi"/>
      <w:i/>
      <w:iCs/>
      <w:color w:val="943634" w:themeColor="accent2" w:themeShade="BF"/>
      <w:sz w:val="20"/>
      <w:szCs w:val="20"/>
    </w:rPr>
  </w:style>
  <w:style w:type="paragraph" w:styleId="NoSpacing">
    <w:name w:val="No Spacing"/>
    <w:uiPriority w:val="1"/>
    <w:qFormat/>
    <w:rsid w:val="00B0486D"/>
    <w:pPr>
      <w:spacing w:after="0" w:line="240" w:lineRule="auto"/>
    </w:pPr>
  </w:style>
  <w:style w:type="paragraph" w:styleId="Quote">
    <w:name w:val="Quote"/>
    <w:basedOn w:val="Normal"/>
    <w:next w:val="Normal"/>
    <w:link w:val="QuoteChar"/>
    <w:uiPriority w:val="29"/>
    <w:qFormat/>
    <w:rsid w:val="00B0486D"/>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B0486D"/>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B0486D"/>
    <w:pPr>
      <w:spacing w:before="100" w:beforeAutospacing="1" w:after="240"/>
      <w:ind w:left="936" w:right="936"/>
      <w:jc w:val="center"/>
    </w:pPr>
    <w:rPr>
      <w:rFonts w:asciiTheme="majorHAnsi" w:eastAsiaTheme="majorEastAsia" w:hAnsiTheme="majorHAnsi" w:cstheme="majorBidi"/>
      <w:caps/>
      <w:color w:val="943634" w:themeColor="accent2" w:themeShade="BF"/>
      <w:spacing w:val="10"/>
      <w:sz w:val="28"/>
      <w:szCs w:val="28"/>
    </w:rPr>
  </w:style>
  <w:style w:type="character" w:customStyle="1" w:styleId="IntenseQuoteChar">
    <w:name w:val="Intense Quote Char"/>
    <w:basedOn w:val="DefaultParagraphFont"/>
    <w:link w:val="IntenseQuote"/>
    <w:uiPriority w:val="30"/>
    <w:rsid w:val="00B0486D"/>
    <w:rPr>
      <w:rFonts w:asciiTheme="majorHAnsi" w:eastAsiaTheme="majorEastAsia" w:hAnsiTheme="majorHAnsi" w:cstheme="majorBidi"/>
      <w:caps/>
      <w:color w:val="943634" w:themeColor="accent2" w:themeShade="BF"/>
      <w:spacing w:val="10"/>
      <w:sz w:val="28"/>
      <w:szCs w:val="28"/>
    </w:rPr>
  </w:style>
  <w:style w:type="character" w:styleId="SubtleEmphasis">
    <w:name w:val="Subtle Emphasis"/>
    <w:basedOn w:val="DefaultParagraphFont"/>
    <w:uiPriority w:val="19"/>
    <w:qFormat/>
    <w:rsid w:val="00B0486D"/>
    <w:rPr>
      <w:i/>
      <w:iCs/>
      <w:color w:val="auto"/>
    </w:rPr>
  </w:style>
  <w:style w:type="character" w:styleId="IntenseEmphasis">
    <w:name w:val="Intense Emphasis"/>
    <w:basedOn w:val="DefaultParagraphFont"/>
    <w:uiPriority w:val="21"/>
    <w:qFormat/>
    <w:rsid w:val="00B0486D"/>
    <w:rPr>
      <w:rFonts w:asciiTheme="minorHAnsi" w:eastAsiaTheme="minorEastAsia" w:hAnsiTheme="minorHAnsi" w:cstheme="minorBidi"/>
      <w:b/>
      <w:bCs/>
      <w:i/>
      <w:iCs/>
      <w:color w:val="943634" w:themeColor="accent2" w:themeShade="BF"/>
      <w:spacing w:val="0"/>
      <w:w w:val="100"/>
      <w:position w:val="0"/>
      <w:sz w:val="20"/>
      <w:szCs w:val="20"/>
    </w:rPr>
  </w:style>
  <w:style w:type="character" w:styleId="SubtleReference">
    <w:name w:val="Subtle Reference"/>
    <w:basedOn w:val="DefaultParagraphFont"/>
    <w:uiPriority w:val="31"/>
    <w:qFormat/>
    <w:rsid w:val="00B0486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B0486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B0486D"/>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B0486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childcare-calculator" TargetMode="External"/><Relationship Id="rId3" Type="http://schemas.openxmlformats.org/officeDocument/2006/relationships/settings" Target="settings.xml"/><Relationship Id="rId7" Type="http://schemas.openxmlformats.org/officeDocument/2006/relationships/hyperlink" Target="https://www.childcarechoices.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ildrenshub@hartlepool.gov.uk"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bursaryadmin@hartlepoolfe.ac.uk" TargetMode="External"/><Relationship Id="rId4" Type="http://schemas.openxmlformats.org/officeDocument/2006/relationships/webSettings" Target="webSettings.xml"/><Relationship Id="rId9" Type="http://schemas.openxmlformats.org/officeDocument/2006/relationships/hyperlink" Target="https://www.gov.uk/care-to-lea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757</Words>
  <Characters>4317</Characters>
  <Application>Microsoft Office Word</Application>
  <DocSecurity>0</DocSecurity>
  <Lines>35</Lines>
  <Paragraphs>10</Paragraphs>
  <ScaleCrop>false</ScaleCrop>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Sewell</dc:creator>
  <cp:keywords/>
  <dc:description/>
  <cp:lastModifiedBy>David Sewell</cp:lastModifiedBy>
  <cp:revision>68</cp:revision>
  <cp:lastPrinted>2023-05-19T18:14:00Z</cp:lastPrinted>
  <dcterms:created xsi:type="dcterms:W3CDTF">2025-04-29T14:12:00Z</dcterms:created>
  <dcterms:modified xsi:type="dcterms:W3CDTF">2025-06-04T08:32:00Z</dcterms:modified>
</cp:coreProperties>
</file>